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690" w:rsidRPr="0029365D" w:rsidRDefault="00F64690" w:rsidP="0029365D">
      <w:pPr>
        <w:widowControl/>
        <w:jc w:val="center"/>
        <w:rPr>
          <w:rFonts w:ascii="HG丸ｺﾞｼｯｸM-PRO" w:eastAsia="HG丸ｺﾞｼｯｸM-PRO" w:hAnsi="HG丸ｺﾞｼｯｸM-PRO" w:cs="メイリオ" w:hint="eastAsia"/>
          <w:b/>
          <w:color w:val="000000"/>
          <w:kern w:val="0"/>
          <w:sz w:val="24"/>
          <w:szCs w:val="24"/>
        </w:rPr>
      </w:pPr>
      <w:bookmarkStart w:id="0" w:name="_GoBack"/>
      <w:bookmarkEnd w:id="0"/>
      <w:r>
        <w:rPr>
          <w:rFonts w:ascii="HG丸ｺﾞｼｯｸM-PRO" w:eastAsia="HG丸ｺﾞｼｯｸM-PRO" w:hAnsi="HG丸ｺﾞｼｯｸM-PRO" w:cs="メイリオ" w:hint="eastAsia"/>
          <w:b/>
          <w:color w:val="000000"/>
          <w:kern w:val="0"/>
          <w:sz w:val="24"/>
          <w:szCs w:val="24"/>
        </w:rPr>
        <w:t>新潟大学　公開・オプトアウト書式</w:t>
      </w:r>
    </w:p>
    <w:p w:rsidR="00D67318" w:rsidRPr="00BC6360" w:rsidRDefault="00BC6360" w:rsidP="00BC6360">
      <w:pPr>
        <w:widowControl/>
        <w:jc w:val="left"/>
        <w:rPr>
          <w:rFonts w:ascii="HG丸ｺﾞｼｯｸM-PRO" w:eastAsia="HG丸ｺﾞｼｯｸM-PRO" w:hAnsi="HG丸ｺﾞｼｯｸM-PRO" w:cs="メイリオ"/>
          <w:color w:val="333333"/>
          <w:kern w:val="0"/>
          <w:szCs w:val="21"/>
        </w:rPr>
      </w:pPr>
      <w:r>
        <w:rPr>
          <w:rFonts w:ascii="HG丸ｺﾞｼｯｸM-PRO" w:eastAsia="HG丸ｺﾞｼｯｸM-PRO" w:hAnsi="HG丸ｺﾞｼｯｸM-PRO" w:cs="メイリオ" w:hint="eastAsia"/>
          <w:color w:val="333333"/>
          <w:kern w:val="0"/>
          <w:szCs w:val="21"/>
        </w:rPr>
        <w:t>テンプレート</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135"/>
      </w:tblGrid>
      <w:tr w:rsidR="0029365D" w:rsidRPr="00D86710" w:rsidTr="00F2008A">
        <w:tc>
          <w:tcPr>
            <w:tcW w:w="2803" w:type="dxa"/>
          </w:tcPr>
          <w:p w:rsidR="0029365D" w:rsidRDefault="0029365D" w:rsidP="00C31549">
            <w:pPr>
              <w:numPr>
                <w:ilvl w:val="0"/>
                <w:numId w:val="3"/>
              </w:numPr>
              <w:rPr>
                <w:rFonts w:ascii="HG丸ｺﾞｼｯｸM-PRO" w:eastAsia="HG丸ｺﾞｼｯｸM-PRO" w:hAnsi="HG丸ｺﾞｼｯｸM-PRO" w:hint="eastAsia"/>
              </w:rPr>
            </w:pPr>
            <w:r>
              <w:rPr>
                <w:rFonts w:ascii="HG丸ｺﾞｼｯｸM-PRO" w:eastAsia="HG丸ｺﾞｼｯｸM-PRO" w:hAnsi="HG丸ｺﾞｼｯｸM-PRO" w:hint="eastAsia"/>
              </w:rPr>
              <w:t>申請番号</w:t>
            </w:r>
          </w:p>
        </w:tc>
        <w:tc>
          <w:tcPr>
            <w:tcW w:w="6135" w:type="dxa"/>
          </w:tcPr>
          <w:p w:rsidR="0029365D" w:rsidRPr="00371BC9" w:rsidRDefault="00C31549" w:rsidP="00E80347">
            <w:pP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017-0014</w:t>
            </w:r>
          </w:p>
        </w:tc>
      </w:tr>
      <w:tr w:rsidR="008B000A" w:rsidRPr="00D86710" w:rsidTr="00F2008A">
        <w:tc>
          <w:tcPr>
            <w:tcW w:w="2803" w:type="dxa"/>
          </w:tcPr>
          <w:p w:rsidR="008B000A" w:rsidRPr="00D86710" w:rsidRDefault="0029365D" w:rsidP="001B4E82">
            <w:pPr>
              <w:rPr>
                <w:rFonts w:ascii="HG丸ｺﾞｼｯｸM-PRO" w:eastAsia="HG丸ｺﾞｼｯｸM-PRO" w:hAnsi="HG丸ｺﾞｼｯｸM-PRO"/>
              </w:rPr>
            </w:pPr>
            <w:r>
              <w:rPr>
                <w:rFonts w:ascii="HG丸ｺﾞｼｯｸM-PRO" w:eastAsia="HG丸ｺﾞｼｯｸM-PRO" w:hAnsi="HG丸ｺﾞｼｯｸM-PRO" w:hint="eastAsia"/>
              </w:rPr>
              <w:t>②</w:t>
            </w:r>
            <w:r w:rsidR="008B000A">
              <w:rPr>
                <w:rFonts w:ascii="HG丸ｺﾞｼｯｸM-PRO" w:eastAsia="HG丸ｺﾞｼｯｸM-PRO" w:hAnsi="HG丸ｺﾞｼｯｸM-PRO" w:hint="eastAsia"/>
              </w:rPr>
              <w:t>研究課題名</w:t>
            </w:r>
          </w:p>
        </w:tc>
        <w:tc>
          <w:tcPr>
            <w:tcW w:w="6135" w:type="dxa"/>
          </w:tcPr>
          <w:p w:rsidR="008B000A" w:rsidRPr="00371BC9" w:rsidRDefault="00371BC9" w:rsidP="00E80347">
            <w:pPr>
              <w:rPr>
                <w:rFonts w:ascii="游明朝" w:hAnsi="游明朝" w:hint="eastAsia"/>
                <w:szCs w:val="21"/>
              </w:rPr>
            </w:pPr>
            <w:r w:rsidRPr="00371BC9">
              <w:rPr>
                <w:rFonts w:ascii="游明朝" w:hAnsi="游明朝" w:hint="eastAsia"/>
                <w:szCs w:val="21"/>
              </w:rPr>
              <w:t>バンコマイシンとタゾバクタム</w:t>
            </w:r>
            <w:r w:rsidRPr="00371BC9">
              <w:rPr>
                <w:rFonts w:ascii="游明朝" w:hAnsi="游明朝" w:hint="eastAsia"/>
                <w:szCs w:val="21"/>
              </w:rPr>
              <w:t>/</w:t>
            </w:r>
            <w:r w:rsidRPr="00371BC9">
              <w:rPr>
                <w:rFonts w:ascii="游明朝" w:hAnsi="游明朝" w:hint="eastAsia"/>
                <w:szCs w:val="21"/>
              </w:rPr>
              <w:t>ピペラシリン併用による腎機能障害発現の検討</w:t>
            </w:r>
          </w:p>
        </w:tc>
      </w:tr>
      <w:tr w:rsidR="008B000A" w:rsidRPr="00D86710" w:rsidTr="00F2008A">
        <w:tc>
          <w:tcPr>
            <w:tcW w:w="2803" w:type="dxa"/>
          </w:tcPr>
          <w:p w:rsidR="008B000A" w:rsidRPr="00D86710" w:rsidRDefault="0029365D">
            <w:pPr>
              <w:rPr>
                <w:rFonts w:ascii="HG丸ｺﾞｼｯｸM-PRO" w:eastAsia="HG丸ｺﾞｼｯｸM-PRO" w:hAnsi="HG丸ｺﾞｼｯｸM-PRO"/>
              </w:rPr>
            </w:pPr>
            <w:r>
              <w:rPr>
                <w:rFonts w:ascii="HG丸ｺﾞｼｯｸM-PRO" w:eastAsia="HG丸ｺﾞｼｯｸM-PRO" w:hAnsi="HG丸ｺﾞｼｯｸM-PRO" w:hint="eastAsia"/>
              </w:rPr>
              <w:t>③</w:t>
            </w:r>
            <w:r w:rsidR="008B000A">
              <w:rPr>
                <w:rFonts w:ascii="HG丸ｺﾞｼｯｸM-PRO" w:eastAsia="HG丸ｺﾞｼｯｸM-PRO" w:hAnsi="HG丸ｺﾞｼｯｸM-PRO" w:hint="eastAsia"/>
              </w:rPr>
              <w:t>情報の利用目的及び利用方法（他の機関へ提供される場合はその方法を含む。）</w:t>
            </w:r>
          </w:p>
        </w:tc>
        <w:tc>
          <w:tcPr>
            <w:tcW w:w="6135" w:type="dxa"/>
          </w:tcPr>
          <w:p w:rsidR="008B000A" w:rsidRDefault="00371BC9" w:rsidP="00371BC9">
            <w:pPr>
              <w:ind w:firstLineChars="100" w:firstLine="210"/>
              <w:rPr>
                <w:rFonts w:ascii="游明朝" w:hAnsi="游明朝"/>
                <w:szCs w:val="21"/>
              </w:rPr>
            </w:pPr>
            <w:r w:rsidRPr="00371BC9">
              <w:rPr>
                <w:rFonts w:ascii="游明朝" w:hAnsi="游明朝" w:hint="eastAsia"/>
                <w:szCs w:val="21"/>
              </w:rPr>
              <w:t>バンコマイシンとタゾバクタム</w:t>
            </w:r>
            <w:r w:rsidRPr="00371BC9">
              <w:rPr>
                <w:rFonts w:ascii="游明朝" w:hAnsi="游明朝" w:hint="eastAsia"/>
                <w:szCs w:val="21"/>
              </w:rPr>
              <w:t>/</w:t>
            </w:r>
            <w:r w:rsidRPr="00371BC9">
              <w:rPr>
                <w:rFonts w:ascii="游明朝" w:hAnsi="游明朝" w:hint="eastAsia"/>
                <w:szCs w:val="21"/>
              </w:rPr>
              <w:t>ピペラシリン併用時に腎機能が低下することがあります。それはバンコマイシンとタゾバクタム</w:t>
            </w:r>
            <w:r w:rsidRPr="00371BC9">
              <w:rPr>
                <w:rFonts w:ascii="游明朝" w:hAnsi="游明朝" w:hint="eastAsia"/>
                <w:szCs w:val="21"/>
              </w:rPr>
              <w:t>/</w:t>
            </w:r>
            <w:r w:rsidRPr="00371BC9">
              <w:rPr>
                <w:rFonts w:ascii="游明朝" w:hAnsi="游明朝" w:hint="eastAsia"/>
                <w:szCs w:val="21"/>
              </w:rPr>
              <w:t>ピペラシリンをそれぞれ使用した時より腎機能の低下を起こす率が高いと言われています。今回、バンコマイシンとタゾバクタム</w:t>
            </w:r>
            <w:r w:rsidRPr="00371BC9">
              <w:rPr>
                <w:rFonts w:ascii="游明朝" w:hAnsi="游明朝" w:hint="eastAsia"/>
                <w:szCs w:val="21"/>
              </w:rPr>
              <w:t>/</w:t>
            </w:r>
            <w:r w:rsidRPr="00371BC9">
              <w:rPr>
                <w:rFonts w:ascii="游明朝" w:hAnsi="游明朝" w:hint="eastAsia"/>
                <w:szCs w:val="21"/>
              </w:rPr>
              <w:t>ピペラシリン併用による腎機能発症頻度がどの程度であり、またその発現時期などが明らかにします。</w:t>
            </w:r>
          </w:p>
          <w:p w:rsidR="00371BC9" w:rsidRDefault="00371BC9" w:rsidP="00371BC9">
            <w:pPr>
              <w:ind w:firstLineChars="100" w:firstLine="210"/>
              <w:rPr>
                <w:rFonts w:ascii="游明朝" w:hAnsi="游明朝"/>
                <w:szCs w:val="21"/>
              </w:rPr>
            </w:pPr>
          </w:p>
          <w:p w:rsidR="00371BC9" w:rsidRPr="00371BC9" w:rsidRDefault="00371BC9" w:rsidP="00371BC9">
            <w:pPr>
              <w:rPr>
                <w:rFonts w:ascii="游明朝" w:hAnsi="游明朝" w:hint="eastAsia"/>
                <w:szCs w:val="21"/>
              </w:rPr>
            </w:pPr>
            <w:r>
              <w:rPr>
                <w:rFonts w:ascii="游明朝" w:hAnsi="游明朝" w:hint="eastAsia"/>
                <w:szCs w:val="21"/>
              </w:rPr>
              <w:t>なお、</w:t>
            </w:r>
            <w:r w:rsidRPr="00371BC9">
              <w:rPr>
                <w:rFonts w:ascii="游明朝" w:hAnsi="游明朝" w:hint="eastAsia"/>
                <w:szCs w:val="21"/>
              </w:rPr>
              <w:t>個人</w:t>
            </w:r>
            <w:r>
              <w:rPr>
                <w:rFonts w:ascii="游明朝" w:hAnsi="游明朝" w:hint="eastAsia"/>
                <w:szCs w:val="21"/>
              </w:rPr>
              <w:t>を特定できる情報の取扱いには</w:t>
            </w:r>
            <w:r w:rsidRPr="00371BC9">
              <w:rPr>
                <w:rFonts w:ascii="游明朝" w:hAnsi="游明朝" w:hint="eastAsia"/>
                <w:szCs w:val="21"/>
              </w:rPr>
              <w:t>十分注意し、匿名化を行います。また、この研究結果を公表する</w:t>
            </w:r>
            <w:r w:rsidRPr="00371BC9">
              <w:rPr>
                <w:rFonts w:ascii="游明朝" w:hAnsi="游明朝" w:hint="eastAsia"/>
                <w:szCs w:val="21"/>
              </w:rPr>
              <w:t>(</w:t>
            </w:r>
            <w:r w:rsidRPr="00371BC9">
              <w:rPr>
                <w:rFonts w:ascii="游明朝" w:hAnsi="游明朝" w:hint="eastAsia"/>
                <w:szCs w:val="21"/>
              </w:rPr>
              <w:t>学会発表や学術雑誌への投稿</w:t>
            </w:r>
            <w:r w:rsidRPr="00371BC9">
              <w:rPr>
                <w:rFonts w:ascii="游明朝" w:hAnsi="游明朝" w:hint="eastAsia"/>
                <w:szCs w:val="21"/>
              </w:rPr>
              <w:t>)</w:t>
            </w:r>
            <w:r w:rsidRPr="00371BC9">
              <w:rPr>
                <w:rFonts w:ascii="游明朝" w:hAnsi="游明朝" w:hint="eastAsia"/>
                <w:szCs w:val="21"/>
              </w:rPr>
              <w:t>場合も、個人を特定できる情報は、含まれません。</w:t>
            </w:r>
          </w:p>
        </w:tc>
      </w:tr>
      <w:tr w:rsidR="008B000A" w:rsidRPr="00D86710" w:rsidTr="00F2008A">
        <w:tc>
          <w:tcPr>
            <w:tcW w:w="2803" w:type="dxa"/>
          </w:tcPr>
          <w:p w:rsidR="008B000A" w:rsidRPr="00D86710" w:rsidRDefault="0029365D" w:rsidP="00425B79">
            <w:pPr>
              <w:rPr>
                <w:rFonts w:ascii="HG丸ｺﾞｼｯｸM-PRO" w:eastAsia="HG丸ｺﾞｼｯｸM-PRO" w:hAnsi="HG丸ｺﾞｼｯｸM-PRO"/>
              </w:rPr>
            </w:pPr>
            <w:r>
              <w:rPr>
                <w:rFonts w:ascii="HG丸ｺﾞｼｯｸM-PRO" w:eastAsia="HG丸ｺﾞｼｯｸM-PRO" w:hAnsi="HG丸ｺﾞｼｯｸM-PRO" w:hint="eastAsia"/>
              </w:rPr>
              <w:t>④</w:t>
            </w:r>
            <w:r w:rsidR="003B0289">
              <w:rPr>
                <w:rFonts w:ascii="HG丸ｺﾞｼｯｸM-PRO" w:eastAsia="HG丸ｺﾞｼｯｸM-PRO" w:hAnsi="HG丸ｺﾞｼｯｸM-PRO" w:hint="eastAsia"/>
              </w:rPr>
              <w:t>利用または提供する</w:t>
            </w:r>
            <w:r w:rsidR="008B000A">
              <w:rPr>
                <w:rFonts w:ascii="HG丸ｺﾞｼｯｸM-PRO" w:eastAsia="HG丸ｺﾞｼｯｸM-PRO" w:hAnsi="HG丸ｺﾞｼｯｸM-PRO" w:hint="eastAsia"/>
              </w:rPr>
              <w:t>情報の項目</w:t>
            </w:r>
          </w:p>
        </w:tc>
        <w:tc>
          <w:tcPr>
            <w:tcW w:w="6135" w:type="dxa"/>
          </w:tcPr>
          <w:p w:rsidR="008B000A" w:rsidRPr="00371BC9" w:rsidRDefault="00371BC9" w:rsidP="00425B79">
            <w:pPr>
              <w:rPr>
                <w:rFonts w:ascii="游明朝" w:hAnsi="游明朝" w:hint="eastAsia"/>
                <w:szCs w:val="21"/>
              </w:rPr>
            </w:pPr>
            <w:r w:rsidRPr="00371BC9">
              <w:rPr>
                <w:rFonts w:ascii="游明朝" w:hAnsi="游明朝" w:hint="eastAsia"/>
                <w:szCs w:val="21"/>
              </w:rPr>
              <w:t>・年齢　・性別　・タゾバクタム</w:t>
            </w:r>
            <w:r w:rsidRPr="00371BC9">
              <w:rPr>
                <w:rFonts w:ascii="游明朝" w:hAnsi="游明朝" w:hint="eastAsia"/>
                <w:szCs w:val="21"/>
              </w:rPr>
              <w:t>/</w:t>
            </w:r>
            <w:r w:rsidRPr="00371BC9">
              <w:rPr>
                <w:rFonts w:ascii="游明朝" w:hAnsi="游明朝" w:hint="eastAsia"/>
                <w:szCs w:val="21"/>
              </w:rPr>
              <w:t>ピペラシリン投与量、投与期間・</w:t>
            </w:r>
            <w:r w:rsidRPr="00371BC9">
              <w:rPr>
                <w:rFonts w:ascii="游明朝" w:hAnsi="游明朝" w:hint="eastAsia"/>
                <w:szCs w:val="21"/>
              </w:rPr>
              <w:t>VCM</w:t>
            </w:r>
            <w:r w:rsidRPr="00371BC9">
              <w:rPr>
                <w:rFonts w:ascii="游明朝" w:hAnsi="游明朝" w:hint="eastAsia"/>
                <w:szCs w:val="21"/>
              </w:rPr>
              <w:t>投与量、投与期間・血中バンコマイシン濃度　・検査（生化学検査・一般検査）　・併用薬</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⑤</w:t>
            </w:r>
            <w:r w:rsidR="008B000A">
              <w:rPr>
                <w:rFonts w:ascii="HG丸ｺﾞｼｯｸM-PRO" w:eastAsia="HG丸ｺﾞｼｯｸM-PRO" w:hAnsi="HG丸ｺﾞｼｯｸM-PRO" w:hint="eastAsia"/>
              </w:rPr>
              <w:t>対象者及び対象期間</w:t>
            </w:r>
          </w:p>
        </w:tc>
        <w:tc>
          <w:tcPr>
            <w:tcW w:w="6135" w:type="dxa"/>
          </w:tcPr>
          <w:p w:rsidR="008B000A" w:rsidRPr="00371BC9" w:rsidRDefault="00371BC9" w:rsidP="00425B79">
            <w:pPr>
              <w:rPr>
                <w:rFonts w:ascii="游明朝" w:hAnsi="游明朝" w:hint="eastAsia"/>
                <w:szCs w:val="21"/>
              </w:rPr>
            </w:pPr>
            <w:r w:rsidRPr="00371BC9">
              <w:rPr>
                <w:rFonts w:ascii="游明朝" w:hAnsi="游明朝" w:hint="eastAsia"/>
                <w:szCs w:val="21"/>
              </w:rPr>
              <w:t>２０１２年１月～２０１６年１２月の間にバンコマイシンとタゾバクタム</w:t>
            </w:r>
            <w:r w:rsidRPr="00371BC9">
              <w:rPr>
                <w:rFonts w:ascii="游明朝" w:hAnsi="游明朝" w:hint="eastAsia"/>
                <w:szCs w:val="21"/>
              </w:rPr>
              <w:t>/</w:t>
            </w:r>
            <w:r w:rsidRPr="00371BC9">
              <w:rPr>
                <w:rFonts w:ascii="游明朝" w:hAnsi="游明朝" w:hint="eastAsia"/>
                <w:szCs w:val="21"/>
              </w:rPr>
              <w:t>ピペラシリンを単独または併用投与が開始となった成人患者</w:t>
            </w:r>
            <w:r>
              <w:rPr>
                <w:rFonts w:ascii="游明朝" w:hAnsi="游明朝" w:hint="eastAsia"/>
                <w:szCs w:val="21"/>
              </w:rPr>
              <w:t>さん</w:t>
            </w:r>
          </w:p>
        </w:tc>
      </w:tr>
      <w:tr w:rsidR="00F64690" w:rsidRPr="00D86710" w:rsidTr="00F2008A">
        <w:tc>
          <w:tcPr>
            <w:tcW w:w="2803" w:type="dxa"/>
          </w:tcPr>
          <w:p w:rsidR="00F64690"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⑥</w:t>
            </w:r>
            <w:r w:rsidR="00F64690">
              <w:rPr>
                <w:rFonts w:ascii="HG丸ｺﾞｼｯｸM-PRO" w:eastAsia="HG丸ｺﾞｼｯｸM-PRO" w:hAnsi="HG丸ｺﾞｼｯｸM-PRO" w:hint="eastAsia"/>
              </w:rPr>
              <w:t>利用の範囲</w:t>
            </w:r>
          </w:p>
        </w:tc>
        <w:tc>
          <w:tcPr>
            <w:tcW w:w="6135" w:type="dxa"/>
          </w:tcPr>
          <w:p w:rsidR="00F64690" w:rsidRPr="00D86710" w:rsidRDefault="00371BC9" w:rsidP="00425B79">
            <w:pPr>
              <w:rPr>
                <w:rFonts w:ascii="ＭＳ Ｐゴシック" w:eastAsia="ＭＳ Ｐゴシック" w:hAnsi="ＭＳ Ｐゴシック"/>
              </w:rPr>
            </w:pPr>
            <w:r>
              <w:rPr>
                <w:rFonts w:ascii="ＭＳ Ｐゴシック" w:eastAsia="ＭＳ Ｐゴシック" w:hAnsi="ＭＳ Ｐゴシック" w:hint="eastAsia"/>
              </w:rPr>
              <w:t>新潟大学医歯学総合病院　薬剤部</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⑦</w:t>
            </w:r>
            <w:r w:rsidR="00F2008A">
              <w:rPr>
                <w:rFonts w:ascii="HG丸ｺﾞｼｯｸM-PRO" w:eastAsia="HG丸ｺﾞｼｯｸM-PRO" w:hAnsi="HG丸ｺﾞｼｯｸM-PRO" w:hint="eastAsia"/>
              </w:rPr>
              <w:t>試料・情報の管理について責任を有する者</w:t>
            </w:r>
          </w:p>
        </w:tc>
        <w:tc>
          <w:tcPr>
            <w:tcW w:w="6135" w:type="dxa"/>
          </w:tcPr>
          <w:p w:rsidR="00371BC9" w:rsidRDefault="00371BC9" w:rsidP="00371BC9">
            <w:pPr>
              <w:rPr>
                <w:rFonts w:ascii="ＭＳ Ｐゴシック" w:eastAsia="ＭＳ Ｐゴシック" w:hAnsi="ＭＳ Ｐゴシック"/>
              </w:rPr>
            </w:pPr>
            <w:r>
              <w:rPr>
                <w:rFonts w:ascii="ＭＳ Ｐゴシック" w:eastAsia="ＭＳ Ｐゴシック" w:hAnsi="ＭＳ Ｐゴシック" w:hint="eastAsia"/>
              </w:rPr>
              <w:t>新潟大学医歯学総合病院薬剤部</w:t>
            </w:r>
          </w:p>
          <w:p w:rsidR="008B000A" w:rsidRPr="00D86710" w:rsidRDefault="00371BC9" w:rsidP="00371BC9">
            <w:pPr>
              <w:rPr>
                <w:rFonts w:ascii="ＭＳ Ｐゴシック" w:eastAsia="ＭＳ Ｐゴシック" w:hAnsi="ＭＳ Ｐゴシック"/>
              </w:rPr>
            </w:pPr>
            <w:r>
              <w:rPr>
                <w:rFonts w:ascii="ＭＳ Ｐゴシック" w:eastAsia="ＭＳ Ｐゴシック" w:hAnsi="ＭＳ Ｐゴシック" w:hint="eastAsia"/>
              </w:rPr>
              <w:t>鈴木直人</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⑧</w:t>
            </w:r>
            <w:r w:rsidR="003B0289">
              <w:rPr>
                <w:rFonts w:ascii="HG丸ｺﾞｼｯｸM-PRO" w:eastAsia="HG丸ｺﾞｼｯｸM-PRO" w:hAnsi="HG丸ｺﾞｼｯｸM-PRO" w:hint="eastAsia"/>
              </w:rPr>
              <w:t>問い合わせ</w:t>
            </w:r>
            <w:r w:rsidR="008B000A">
              <w:rPr>
                <w:rFonts w:ascii="HG丸ｺﾞｼｯｸM-PRO" w:eastAsia="HG丸ｺﾞｼｯｸM-PRO" w:hAnsi="HG丸ｺﾞｼｯｸM-PRO" w:hint="eastAsia"/>
              </w:rPr>
              <w:t>先</w:t>
            </w:r>
          </w:p>
        </w:tc>
        <w:tc>
          <w:tcPr>
            <w:tcW w:w="6135" w:type="dxa"/>
          </w:tcPr>
          <w:p w:rsidR="00371BC9" w:rsidRPr="00371BC9" w:rsidRDefault="00A1368F" w:rsidP="00371BC9">
            <w:pPr>
              <w:rPr>
                <w:rFonts w:ascii="游明朝" w:hAnsi="游明朝"/>
                <w:szCs w:val="21"/>
              </w:rPr>
            </w:pPr>
            <w:r>
              <w:rPr>
                <w:rFonts w:ascii="游明朝" w:hAnsi="游明朝" w:hint="eastAsia"/>
                <w:szCs w:val="21"/>
              </w:rPr>
              <w:t>新潟</w:t>
            </w:r>
            <w:r w:rsidR="00371BC9" w:rsidRPr="00371BC9">
              <w:rPr>
                <w:rFonts w:ascii="游明朝" w:hAnsi="游明朝" w:hint="eastAsia"/>
                <w:szCs w:val="21"/>
              </w:rPr>
              <w:t>大学医歯学総合病院　薬剤部</w:t>
            </w:r>
          </w:p>
          <w:p w:rsidR="00371BC9" w:rsidRPr="00371BC9" w:rsidRDefault="00371BC9" w:rsidP="00371BC9">
            <w:pPr>
              <w:rPr>
                <w:rFonts w:ascii="游明朝" w:hAnsi="游明朝"/>
                <w:szCs w:val="21"/>
              </w:rPr>
            </w:pPr>
            <w:r w:rsidRPr="00371BC9">
              <w:rPr>
                <w:rFonts w:ascii="游明朝" w:hAnsi="游明朝" w:hint="eastAsia"/>
                <w:szCs w:val="21"/>
              </w:rPr>
              <w:t>担当：島田　泉</w:t>
            </w:r>
          </w:p>
          <w:p w:rsidR="003B0289" w:rsidRPr="00371BC9" w:rsidRDefault="00371BC9" w:rsidP="00425B79">
            <w:pPr>
              <w:rPr>
                <w:rFonts w:ascii="游明朝" w:hAnsi="游明朝" w:hint="eastAsia"/>
                <w:szCs w:val="21"/>
              </w:rPr>
            </w:pPr>
            <w:r w:rsidRPr="00371BC9">
              <w:rPr>
                <w:rFonts w:ascii="游明朝" w:hAnsi="游明朝" w:hint="eastAsia"/>
                <w:szCs w:val="21"/>
              </w:rPr>
              <w:t>電話：０２５－２２７－２７８６</w:t>
            </w:r>
          </w:p>
        </w:tc>
      </w:tr>
    </w:tbl>
    <w:p w:rsidR="008F0AF7" w:rsidRDefault="008F0AF7" w:rsidP="008F0AF7">
      <w:pPr>
        <w:ind w:left="141" w:hangingChars="67" w:hanging="141"/>
        <w:rPr>
          <w:rFonts w:ascii="HG丸ｺﾞｼｯｸM-PRO" w:eastAsia="HG丸ｺﾞｼｯｸM-PRO" w:hAnsi="HG丸ｺﾞｼｯｸM-PRO" w:hint="eastAsia"/>
        </w:rPr>
      </w:pPr>
    </w:p>
    <w:sectPr w:rsidR="008F0AF7" w:rsidSect="00C12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E23" w:rsidRDefault="00A35E23" w:rsidP="00D67318">
      <w:r>
        <w:separator/>
      </w:r>
    </w:p>
  </w:endnote>
  <w:endnote w:type="continuationSeparator" w:id="0">
    <w:p w:rsidR="00A35E23" w:rsidRDefault="00A35E23" w:rsidP="00D6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E23" w:rsidRDefault="00A35E23" w:rsidP="00D67318">
      <w:r>
        <w:separator/>
      </w:r>
    </w:p>
  </w:footnote>
  <w:footnote w:type="continuationSeparator" w:id="0">
    <w:p w:rsidR="00A35E23" w:rsidRDefault="00A35E23" w:rsidP="00D6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4714"/>
    <w:multiLevelType w:val="hybridMultilevel"/>
    <w:tmpl w:val="D960F20E"/>
    <w:lvl w:ilvl="0" w:tplc="92822FEC">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87B3A5A"/>
    <w:multiLevelType w:val="hybridMultilevel"/>
    <w:tmpl w:val="B73E3B1E"/>
    <w:lvl w:ilvl="0" w:tplc="AA12E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A5C00"/>
    <w:multiLevelType w:val="hybridMultilevel"/>
    <w:tmpl w:val="42AAF5FA"/>
    <w:lvl w:ilvl="0" w:tplc="38C0B0B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2"/>
    <w:rsid w:val="0003051C"/>
    <w:rsid w:val="000424B7"/>
    <w:rsid w:val="000500EA"/>
    <w:rsid w:val="00065049"/>
    <w:rsid w:val="000938FE"/>
    <w:rsid w:val="000D42C6"/>
    <w:rsid w:val="00112022"/>
    <w:rsid w:val="00134337"/>
    <w:rsid w:val="001A39B8"/>
    <w:rsid w:val="001B4E82"/>
    <w:rsid w:val="001D59C5"/>
    <w:rsid w:val="001F55E9"/>
    <w:rsid w:val="002246D4"/>
    <w:rsid w:val="0029365D"/>
    <w:rsid w:val="002A07F4"/>
    <w:rsid w:val="002F7E23"/>
    <w:rsid w:val="00303A15"/>
    <w:rsid w:val="00303B0D"/>
    <w:rsid w:val="00307DA7"/>
    <w:rsid w:val="00371BC9"/>
    <w:rsid w:val="00374BC4"/>
    <w:rsid w:val="00394088"/>
    <w:rsid w:val="003B0289"/>
    <w:rsid w:val="003B3573"/>
    <w:rsid w:val="00425B79"/>
    <w:rsid w:val="00437810"/>
    <w:rsid w:val="00490E48"/>
    <w:rsid w:val="004C2DE1"/>
    <w:rsid w:val="004F194E"/>
    <w:rsid w:val="00500575"/>
    <w:rsid w:val="0050285F"/>
    <w:rsid w:val="00550D7C"/>
    <w:rsid w:val="00551616"/>
    <w:rsid w:val="005641F2"/>
    <w:rsid w:val="00570548"/>
    <w:rsid w:val="005A635D"/>
    <w:rsid w:val="005A6BED"/>
    <w:rsid w:val="005B7800"/>
    <w:rsid w:val="005C284A"/>
    <w:rsid w:val="005D54B0"/>
    <w:rsid w:val="005E5C92"/>
    <w:rsid w:val="006038ED"/>
    <w:rsid w:val="006168BD"/>
    <w:rsid w:val="00645D45"/>
    <w:rsid w:val="0065577F"/>
    <w:rsid w:val="0066247A"/>
    <w:rsid w:val="006715F7"/>
    <w:rsid w:val="0071174C"/>
    <w:rsid w:val="00733BB0"/>
    <w:rsid w:val="00760619"/>
    <w:rsid w:val="007634ED"/>
    <w:rsid w:val="007642C8"/>
    <w:rsid w:val="00781509"/>
    <w:rsid w:val="007A3072"/>
    <w:rsid w:val="007B7802"/>
    <w:rsid w:val="007C051B"/>
    <w:rsid w:val="007D13E1"/>
    <w:rsid w:val="007E5D16"/>
    <w:rsid w:val="007F2AB2"/>
    <w:rsid w:val="00824B82"/>
    <w:rsid w:val="00835BB3"/>
    <w:rsid w:val="008715AE"/>
    <w:rsid w:val="008B000A"/>
    <w:rsid w:val="008E0D52"/>
    <w:rsid w:val="008F0AF7"/>
    <w:rsid w:val="00930D7D"/>
    <w:rsid w:val="00936E48"/>
    <w:rsid w:val="009C0CA4"/>
    <w:rsid w:val="009C24FB"/>
    <w:rsid w:val="009C5F05"/>
    <w:rsid w:val="009C6822"/>
    <w:rsid w:val="009C6A0F"/>
    <w:rsid w:val="009E5473"/>
    <w:rsid w:val="00A1368F"/>
    <w:rsid w:val="00A23F69"/>
    <w:rsid w:val="00A35E23"/>
    <w:rsid w:val="00A86308"/>
    <w:rsid w:val="00A96E71"/>
    <w:rsid w:val="00AE7A89"/>
    <w:rsid w:val="00B117AC"/>
    <w:rsid w:val="00B124F3"/>
    <w:rsid w:val="00B21D83"/>
    <w:rsid w:val="00B436B7"/>
    <w:rsid w:val="00B457DA"/>
    <w:rsid w:val="00B74A57"/>
    <w:rsid w:val="00B87D34"/>
    <w:rsid w:val="00BA4D7C"/>
    <w:rsid w:val="00BA70AC"/>
    <w:rsid w:val="00BC6360"/>
    <w:rsid w:val="00BD5612"/>
    <w:rsid w:val="00C07CBD"/>
    <w:rsid w:val="00C12C69"/>
    <w:rsid w:val="00C25D46"/>
    <w:rsid w:val="00C31549"/>
    <w:rsid w:val="00C34290"/>
    <w:rsid w:val="00C346BF"/>
    <w:rsid w:val="00C500D4"/>
    <w:rsid w:val="00C55382"/>
    <w:rsid w:val="00C87319"/>
    <w:rsid w:val="00CC5CA9"/>
    <w:rsid w:val="00D1375D"/>
    <w:rsid w:val="00D22556"/>
    <w:rsid w:val="00D67318"/>
    <w:rsid w:val="00D67911"/>
    <w:rsid w:val="00D74918"/>
    <w:rsid w:val="00D86710"/>
    <w:rsid w:val="00E0578E"/>
    <w:rsid w:val="00E80347"/>
    <w:rsid w:val="00E97CC0"/>
    <w:rsid w:val="00ED54CE"/>
    <w:rsid w:val="00EF6BE0"/>
    <w:rsid w:val="00F2008A"/>
    <w:rsid w:val="00F238EE"/>
    <w:rsid w:val="00F255E0"/>
    <w:rsid w:val="00F64690"/>
    <w:rsid w:val="00F903CD"/>
    <w:rsid w:val="00FA27F1"/>
    <w:rsid w:val="00FB044F"/>
    <w:rsid w:val="00FB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FEF0CFF-FF07-47E1-B154-B0D40901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7318"/>
    <w:pPr>
      <w:tabs>
        <w:tab w:val="center" w:pos="4252"/>
        <w:tab w:val="right" w:pos="8504"/>
      </w:tabs>
      <w:snapToGrid w:val="0"/>
    </w:pPr>
  </w:style>
  <w:style w:type="character" w:customStyle="1" w:styleId="a5">
    <w:name w:val="ヘッダー (文字)"/>
    <w:basedOn w:val="a0"/>
    <w:link w:val="a4"/>
    <w:uiPriority w:val="99"/>
    <w:rsid w:val="00D67318"/>
  </w:style>
  <w:style w:type="paragraph" w:styleId="a6">
    <w:name w:val="footer"/>
    <w:basedOn w:val="a"/>
    <w:link w:val="a7"/>
    <w:uiPriority w:val="99"/>
    <w:unhideWhenUsed/>
    <w:rsid w:val="00D67318"/>
    <w:pPr>
      <w:tabs>
        <w:tab w:val="center" w:pos="4252"/>
        <w:tab w:val="right" w:pos="8504"/>
      </w:tabs>
      <w:snapToGrid w:val="0"/>
    </w:pPr>
  </w:style>
  <w:style w:type="character" w:customStyle="1" w:styleId="a7">
    <w:name w:val="フッター (文字)"/>
    <w:basedOn w:val="a0"/>
    <w:link w:val="a6"/>
    <w:uiPriority w:val="99"/>
    <w:rsid w:val="00D67318"/>
  </w:style>
  <w:style w:type="character" w:customStyle="1" w:styleId="set3h">
    <w:name w:val="set3h"/>
    <w:basedOn w:val="a0"/>
    <w:rsid w:val="00B87D34"/>
  </w:style>
  <w:style w:type="paragraph" w:styleId="Web">
    <w:name w:val="Normal (Web)"/>
    <w:basedOn w:val="a"/>
    <w:uiPriority w:val="99"/>
    <w:unhideWhenUsed/>
    <w:rsid w:val="00B87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550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550D7C"/>
    <w:rPr>
      <w:rFonts w:ascii="ＭＳ ゴシック" w:eastAsia="ＭＳ ゴシック" w:hAnsi="ＭＳ ゴシック" w:cs="ＭＳ ゴシック"/>
      <w:kern w:val="0"/>
      <w:sz w:val="24"/>
      <w:szCs w:val="24"/>
    </w:rPr>
  </w:style>
  <w:style w:type="character" w:styleId="a8">
    <w:name w:val="Hyperlink"/>
    <w:uiPriority w:val="99"/>
    <w:unhideWhenUsed/>
    <w:rsid w:val="00550D7C"/>
    <w:rPr>
      <w:color w:val="0000FF"/>
      <w:u w:val="single"/>
    </w:rPr>
  </w:style>
  <w:style w:type="paragraph" w:styleId="a9">
    <w:name w:val="Balloon Text"/>
    <w:basedOn w:val="a"/>
    <w:link w:val="aa"/>
    <w:uiPriority w:val="99"/>
    <w:semiHidden/>
    <w:unhideWhenUsed/>
    <w:rsid w:val="009E5473"/>
    <w:rPr>
      <w:rFonts w:ascii="Arial" w:eastAsia="ＭＳ ゴシック" w:hAnsi="Arial"/>
      <w:sz w:val="18"/>
      <w:szCs w:val="18"/>
    </w:rPr>
  </w:style>
  <w:style w:type="character" w:customStyle="1" w:styleId="aa">
    <w:name w:val="吹き出し (文字)"/>
    <w:link w:val="a9"/>
    <w:uiPriority w:val="99"/>
    <w:semiHidden/>
    <w:rsid w:val="009E54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0733">
      <w:bodyDiv w:val="1"/>
      <w:marLeft w:val="0"/>
      <w:marRight w:val="0"/>
      <w:marTop w:val="0"/>
      <w:marBottom w:val="0"/>
      <w:divBdr>
        <w:top w:val="none" w:sz="0" w:space="0" w:color="auto"/>
        <w:left w:val="none" w:sz="0" w:space="0" w:color="auto"/>
        <w:bottom w:val="none" w:sz="0" w:space="0" w:color="auto"/>
        <w:right w:val="none" w:sz="0" w:space="0" w:color="auto"/>
      </w:divBdr>
    </w:div>
    <w:div w:id="5914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2015-10-28T02:43:00Z</cp:lastPrinted>
  <dcterms:created xsi:type="dcterms:W3CDTF">2017-11-01T04:01:00Z</dcterms:created>
  <dcterms:modified xsi:type="dcterms:W3CDTF">2017-11-01T04:01:00Z</dcterms:modified>
</cp:coreProperties>
</file>